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ED6" w:rsidRDefault="00387ED6" w:rsidP="00387ED6">
      <w:pPr>
        <w:jc w:val="center"/>
      </w:pPr>
    </w:p>
    <w:p w:rsidR="00387ED6" w:rsidRDefault="00387ED6" w:rsidP="00387ED6">
      <w:pPr>
        <w:jc w:val="center"/>
      </w:pPr>
    </w:p>
    <w:p w:rsidR="00387ED6" w:rsidRDefault="00387ED6" w:rsidP="00387ED6">
      <w:pPr>
        <w:jc w:val="center"/>
      </w:pPr>
    </w:p>
    <w:p w:rsidR="00387ED6" w:rsidRDefault="00387ED6" w:rsidP="00387ED6">
      <w:pPr>
        <w:jc w:val="center"/>
      </w:pPr>
    </w:p>
    <w:p w:rsidR="00387ED6" w:rsidRDefault="00387ED6" w:rsidP="00387ED6">
      <w:pPr>
        <w:jc w:val="center"/>
      </w:pPr>
    </w:p>
    <w:p w:rsidR="00387ED6" w:rsidRDefault="00387ED6" w:rsidP="00387ED6">
      <w:pPr>
        <w:jc w:val="center"/>
      </w:pPr>
    </w:p>
    <w:p w:rsidR="00387ED6" w:rsidRDefault="00387ED6" w:rsidP="00387ED6">
      <w:pPr>
        <w:jc w:val="center"/>
      </w:pPr>
    </w:p>
    <w:p w:rsidR="00387ED6" w:rsidRDefault="00387ED6" w:rsidP="00387ED6">
      <w:pPr>
        <w:jc w:val="center"/>
      </w:pPr>
    </w:p>
    <w:p w:rsidR="00387ED6" w:rsidRDefault="00387ED6" w:rsidP="00387ED6">
      <w:pPr>
        <w:jc w:val="center"/>
      </w:pPr>
    </w:p>
    <w:p w:rsidR="00387ED6" w:rsidRDefault="008F6D57" w:rsidP="00387ED6">
      <w:pPr>
        <w:jc w:val="center"/>
      </w:pPr>
      <w:r>
        <w:t>Assessment Tools</w:t>
      </w:r>
    </w:p>
    <w:p w:rsidR="00387ED6" w:rsidRDefault="00387ED6" w:rsidP="00387ED6">
      <w:pPr>
        <w:jc w:val="center"/>
      </w:pPr>
    </w:p>
    <w:p w:rsidR="00387ED6" w:rsidRDefault="008F6D57" w:rsidP="00387ED6">
      <w:pPr>
        <w:jc w:val="center"/>
      </w:pPr>
      <w:r>
        <w:t>Student’s Name</w:t>
      </w:r>
    </w:p>
    <w:p w:rsidR="00387ED6" w:rsidRDefault="008F6D57" w:rsidP="00387ED6">
      <w:pPr>
        <w:jc w:val="center"/>
      </w:pPr>
      <w:r>
        <w:t>Institutional Affiliations</w:t>
      </w:r>
    </w:p>
    <w:p w:rsidR="00387ED6" w:rsidRDefault="008F6D57" w:rsidP="00387ED6">
      <w:pPr>
        <w:jc w:val="center"/>
      </w:pPr>
      <w:r>
        <w:t>Date</w:t>
      </w:r>
    </w:p>
    <w:p w:rsidR="00387ED6" w:rsidRDefault="00387ED6"/>
    <w:p w:rsidR="00387ED6" w:rsidRDefault="008F6D57">
      <w:r>
        <w:br w:type="page"/>
      </w:r>
    </w:p>
    <w:p w:rsidR="00BA54B0" w:rsidRDefault="008F6D57" w:rsidP="00387ED6">
      <w:pPr>
        <w:jc w:val="center"/>
        <w:rPr>
          <w:b/>
        </w:rPr>
      </w:pPr>
      <w:r w:rsidRPr="00387ED6">
        <w:rPr>
          <w:b/>
        </w:rPr>
        <w:lastRenderedPageBreak/>
        <w:t>Introduction</w:t>
      </w:r>
    </w:p>
    <w:p w:rsidR="00387ED6" w:rsidRPr="00BC35D9" w:rsidRDefault="008F6D57" w:rsidP="00BC35D9">
      <w:pPr>
        <w:ind w:firstLine="720"/>
        <w:rPr>
          <w:shd w:val="clear" w:color="auto" w:fill="FFFFFF"/>
        </w:rPr>
      </w:pPr>
      <w:r>
        <w:t xml:space="preserve">Assessment tool refers to the method used to determine the proficiency </w:t>
      </w:r>
      <w:r w:rsidR="00A111FB">
        <w:t>of</w:t>
      </w:r>
      <w:r>
        <w:t xml:space="preserve"> a student </w:t>
      </w:r>
      <w:r w:rsidR="00A111FB">
        <w:t>toward</w:t>
      </w:r>
      <w:r>
        <w:t xml:space="preserve"> specific disciplines. Assessment tools are used to measure a student's skills and </w:t>
      </w:r>
      <w:r w:rsidR="00A111FB">
        <w:t>abilities</w:t>
      </w:r>
      <w:r>
        <w:t xml:space="preserve"> in specific academic </w:t>
      </w:r>
      <w:r w:rsidR="00BC35D9">
        <w:t>goals</w:t>
      </w:r>
      <w:r w:rsidR="00BC35D9">
        <w:rPr>
          <w:shd w:val="clear" w:color="auto" w:fill="FFFFFF"/>
        </w:rPr>
        <w:t xml:space="preserve"> (Aji et al.</w:t>
      </w:r>
      <w:bookmarkStart w:id="0" w:name="_GoBack"/>
      <w:bookmarkEnd w:id="0"/>
      <w:r w:rsidR="00E250AC">
        <w:rPr>
          <w:shd w:val="clear" w:color="auto" w:fill="FFFFFF"/>
        </w:rPr>
        <w:t>, .</w:t>
      </w:r>
      <w:r w:rsidR="00BC35D9" w:rsidRPr="006261B9">
        <w:rPr>
          <w:shd w:val="clear" w:color="auto" w:fill="FFFFFF"/>
        </w:rPr>
        <w:t>2018)</w:t>
      </w:r>
      <w:r w:rsidR="00A111FB">
        <w:t>. Assessment</w:t>
      </w:r>
      <w:r>
        <w:t xml:space="preserve"> can be classified as a formal or informal assessment. This report will compare two assessment tool</w:t>
      </w:r>
      <w:r w:rsidR="00A111FB">
        <w:t>s that are widely used. Similarly, contrast on the chosen assessment tool will clearly be shown by the report. Examples of assessment tools include a rubric, checklist, search report guide, and grading guide. This report will compare and contra</w:t>
      </w:r>
      <w:r w:rsidR="00EC26C8">
        <w:t>st a rubric and a grading guide</w:t>
      </w:r>
      <w:r w:rsidR="00E468A4">
        <w:t>.</w:t>
      </w:r>
    </w:p>
    <w:p w:rsidR="00E250AC" w:rsidRDefault="008F6D57" w:rsidP="00BC35D9">
      <w:pPr>
        <w:ind w:firstLine="720"/>
      </w:pPr>
      <w:r>
        <w:t xml:space="preserve">A rubric and a scoring guide are the most common assessment tools used to evaluate the students' proficiency. A rubric is an assessment tool used to </w:t>
      </w:r>
      <w:r w:rsidR="00EC26C8">
        <w:t>evaluate</w:t>
      </w:r>
      <w:r>
        <w:t xml:space="preserve"> a specific type of work by providing a detailed way </w:t>
      </w:r>
      <w:r w:rsidR="00EC26C8">
        <w:t>of awarding</w:t>
      </w:r>
      <w:r>
        <w:t xml:space="preserve"> marks rather than gi</w:t>
      </w:r>
      <w:r>
        <w:t xml:space="preserve">ving a single </w:t>
      </w:r>
      <w:r w:rsidR="00BC35D9">
        <w:t>grade</w:t>
      </w:r>
      <w:r w:rsidR="00BC35D9">
        <w:rPr>
          <w:shd w:val="clear" w:color="auto" w:fill="FFFFFF"/>
        </w:rPr>
        <w:t xml:space="preserve"> (Hudha &amp; Huda, 2018)</w:t>
      </w:r>
      <w:r w:rsidR="0000380D">
        <w:t>. On</w:t>
      </w:r>
      <w:r w:rsidR="00EC26C8">
        <w:t xml:space="preserve"> the other hand, a grading guide is an assessment tool that contains a simple assessment method and has a comment session where </w:t>
      </w:r>
      <w:r w:rsidR="0000380D">
        <w:t>that</w:t>
      </w:r>
      <w:r w:rsidR="00EC26C8">
        <w:t xml:space="preserve"> assessor can comment on the student’s performance.</w:t>
      </w:r>
      <w:r>
        <w:t xml:space="preserve"> </w:t>
      </w:r>
      <w:r w:rsidR="0000380D">
        <w:t xml:space="preserve">The total score by the students is finally graded based on the set grading methods. </w:t>
      </w:r>
    </w:p>
    <w:p w:rsidR="00A111FB" w:rsidRPr="00BC35D9" w:rsidRDefault="0000380D" w:rsidP="00BC35D9">
      <w:pPr>
        <w:ind w:firstLine="720"/>
        <w:rPr>
          <w:shd w:val="clear" w:color="auto" w:fill="FFFFFF"/>
        </w:rPr>
      </w:pPr>
      <w:r>
        <w:t xml:space="preserve">There exist many similarities between a grading guide and a rubric. For example, both the rubric and that grading guide contain a well-defined method of assessment. Both tools explain how the allocation of marks will be based on. Secondly, both tools are used to assess the performance of a specific topic by the student. Both a rubric and a grading guide assess students' performance according to the level of proficiency demonstrated in certain specific fields of the </w:t>
      </w:r>
      <w:r w:rsidR="0097114F">
        <w:t>research. The last similarity between a grading guide and a rubric is that both methods allocated marks to the students according to performance.</w:t>
      </w:r>
    </w:p>
    <w:p w:rsidR="00BC35D9" w:rsidRDefault="008F6D57" w:rsidP="00BC35D9">
      <w:pPr>
        <w:ind w:firstLine="720"/>
      </w:pPr>
      <w:r>
        <w:t xml:space="preserve">There are significant differences between a rubric and a grading guide. The first difference is </w:t>
      </w:r>
      <w:r>
        <w:t xml:space="preserve">that a grading guide determines the final scores by comparing the scores obtained with the worst or the best score </w:t>
      </w:r>
      <w:r>
        <w:rPr>
          <w:shd w:val="clear" w:color="auto" w:fill="FFFFFF"/>
        </w:rPr>
        <w:t>(Sanmugam et al., .</w:t>
      </w:r>
      <w:r w:rsidRPr="006261B9">
        <w:rPr>
          <w:shd w:val="clear" w:color="auto" w:fill="FFFFFF"/>
        </w:rPr>
        <w:t>2016)</w:t>
      </w:r>
      <w:r>
        <w:t xml:space="preserve">. On the other hand, the rubric does not compare the performance of the student's score. Instead, it allocates marks </w:t>
      </w:r>
      <w:r>
        <w:t xml:space="preserve">based on the level of proficiency of the student. The grading score calculates the total marks scored by the students in the whole assessment, while on the other hand, a rubric </w:t>
      </w:r>
      <w:r w:rsidR="00EE42FA">
        <w:t xml:space="preserve">does not show the criteria used to calculate the total marks awarded. In other words, a rubric uses a subjective method of allocating the total marks scored by the student, while a grading guide uses an objective way to allocate the total marks scored. </w:t>
      </w:r>
    </w:p>
    <w:p w:rsidR="0097114F" w:rsidRPr="00BC35D9" w:rsidRDefault="008F6D57" w:rsidP="00BC35D9">
      <w:pPr>
        <w:ind w:firstLine="720"/>
      </w:pPr>
      <w:r>
        <w:t>The third significant difference between a rubric and a grading guide is that a g</w:t>
      </w:r>
      <w:r>
        <w:t>rading guide classifies the total marks scored in grades such as A to B, while a rubric does not grade the total marks scored. Instead, it often presents them inform on percentages. This difference makes a grading guide a more efficient assessment tool tha</w:t>
      </w:r>
      <w:r>
        <w:t xml:space="preserve">n a </w:t>
      </w:r>
      <w:r w:rsidR="00BC35D9">
        <w:t>rubric</w:t>
      </w:r>
      <w:r w:rsidR="00BC35D9">
        <w:rPr>
          <w:shd w:val="clear" w:color="auto" w:fill="FFFFFF"/>
        </w:rPr>
        <w:t xml:space="preserve"> (Veletsianos, 2016)</w:t>
      </w:r>
      <w:r>
        <w:t xml:space="preserve">. Lastly, a rubric uses more detailed assessment criteria because it details what is expected from the student and appropriate marks allocation. In contrast, a grading guide uses simple assessment criteria because it does not </w:t>
      </w:r>
      <w:r>
        <w:t xml:space="preserve">critically </w:t>
      </w:r>
      <w:r w:rsidR="00E250AC">
        <w:t>analyse</w:t>
      </w:r>
      <w:r>
        <w:t xml:space="preserve"> what the student should accomplish in a particular specific task.</w:t>
      </w:r>
    </w:p>
    <w:p w:rsidR="00EE42FA" w:rsidRDefault="008F6D57" w:rsidP="00EE42FA">
      <w:pPr>
        <w:jc w:val="center"/>
        <w:rPr>
          <w:b/>
        </w:rPr>
      </w:pPr>
      <w:r w:rsidRPr="00EE42FA">
        <w:rPr>
          <w:b/>
        </w:rPr>
        <w:t>Conclusion</w:t>
      </w:r>
    </w:p>
    <w:p w:rsidR="00EE42FA" w:rsidRDefault="008F6D57" w:rsidP="00EE42FA">
      <w:r>
        <w:rPr>
          <w:b/>
        </w:rPr>
        <w:t xml:space="preserve"> </w:t>
      </w:r>
      <w:r w:rsidR="00BC35D9">
        <w:rPr>
          <w:b/>
        </w:rPr>
        <w:tab/>
      </w:r>
      <w:r>
        <w:t xml:space="preserve">There are significant similarities between a grading guide and a rubric; for example, both tools are used for the same purpose, assessing the students' </w:t>
      </w:r>
      <w:r>
        <w:t>performance</w:t>
      </w:r>
      <w:r w:rsidR="006261B9">
        <w:t>. Additionally, both tools explain the methods of awarding marks to the students. However, there are significant differences between a rubric and a grading guide. For example, a grading guide is more objective while a rubric is more subjective; this is because the grading guide involves computation of total marks scored by the student while the rubric does not calculate nor grade the total marks scored.</w:t>
      </w:r>
    </w:p>
    <w:p w:rsidR="006261B9" w:rsidRDefault="006261B9" w:rsidP="00EE42FA"/>
    <w:p w:rsidR="006261B9" w:rsidRDefault="006261B9" w:rsidP="00EE42FA"/>
    <w:p w:rsidR="006261B9" w:rsidRDefault="006261B9" w:rsidP="00EE42FA"/>
    <w:p w:rsidR="006261B9" w:rsidRDefault="008F6D57" w:rsidP="006261B9">
      <w:pPr>
        <w:jc w:val="center"/>
        <w:rPr>
          <w:b/>
        </w:rPr>
      </w:pPr>
      <w:r w:rsidRPr="006261B9">
        <w:rPr>
          <w:b/>
        </w:rPr>
        <w:t>References</w:t>
      </w:r>
    </w:p>
    <w:p w:rsidR="006261B9" w:rsidRPr="006261B9" w:rsidRDefault="008F6D57" w:rsidP="006261B9">
      <w:pPr>
        <w:ind w:left="720" w:hanging="720"/>
        <w:rPr>
          <w:shd w:val="clear" w:color="auto" w:fill="FFFFFF"/>
        </w:rPr>
      </w:pPr>
      <w:r w:rsidRPr="006261B9">
        <w:rPr>
          <w:shd w:val="clear" w:color="auto" w:fill="FFFFFF"/>
        </w:rPr>
        <w:t xml:space="preserve">Aji, S. D., Hudha, M. N., Huda, C., Nandiyanto, A. B. D., &amp; Abdullah, A. G. </w:t>
      </w:r>
      <w:r w:rsidRPr="006261B9">
        <w:rPr>
          <w:shd w:val="clear" w:color="auto" w:fill="FFFFFF"/>
        </w:rPr>
        <w:t>(2018). The improvement of learning effectiveness in the lesson study by using e-rubric. </w:t>
      </w:r>
      <w:r w:rsidRPr="006261B9">
        <w:rPr>
          <w:i/>
          <w:iCs/>
          <w:shd w:val="clear" w:color="auto" w:fill="FFFFFF"/>
        </w:rPr>
        <w:t>Journal of Engineering Science and Technology</w:t>
      </w:r>
      <w:r w:rsidRPr="006261B9">
        <w:rPr>
          <w:shd w:val="clear" w:color="auto" w:fill="FFFFFF"/>
        </w:rPr>
        <w:t>, </w:t>
      </w:r>
      <w:r w:rsidRPr="006261B9">
        <w:rPr>
          <w:i/>
          <w:iCs/>
          <w:shd w:val="clear" w:color="auto" w:fill="FFFFFF"/>
        </w:rPr>
        <w:t>13</w:t>
      </w:r>
      <w:r w:rsidRPr="006261B9">
        <w:rPr>
          <w:shd w:val="clear" w:color="auto" w:fill="FFFFFF"/>
        </w:rPr>
        <w:t>(5), 1181-1189.</w:t>
      </w:r>
    </w:p>
    <w:p w:rsidR="006261B9" w:rsidRPr="006261B9" w:rsidRDefault="008F6D57" w:rsidP="006261B9">
      <w:pPr>
        <w:ind w:left="720" w:hanging="720"/>
        <w:rPr>
          <w:shd w:val="clear" w:color="auto" w:fill="FFFFFF"/>
        </w:rPr>
      </w:pPr>
      <w:r w:rsidRPr="006261B9">
        <w:rPr>
          <w:shd w:val="clear" w:color="auto" w:fill="FFFFFF"/>
        </w:rPr>
        <w:t>Hudha, M. N., Aji, S. D., &amp; Huda, C. (2018). E-Rubric: scientific work based on Android for experiment</w:t>
      </w:r>
      <w:r w:rsidRPr="006261B9">
        <w:rPr>
          <w:shd w:val="clear" w:color="auto" w:fill="FFFFFF"/>
        </w:rPr>
        <w:t>al physic. In </w:t>
      </w:r>
      <w:r w:rsidRPr="006261B9">
        <w:rPr>
          <w:i/>
          <w:iCs/>
          <w:shd w:val="clear" w:color="auto" w:fill="FFFFFF"/>
        </w:rPr>
        <w:t>IOP Conference Series: Materials Science and Engineering</w:t>
      </w:r>
      <w:r w:rsidRPr="006261B9">
        <w:rPr>
          <w:shd w:val="clear" w:color="auto" w:fill="FFFFFF"/>
        </w:rPr>
        <w:t> (Vol. 288, No. 1, p. 012100). IOP Publishing.</w:t>
      </w:r>
    </w:p>
    <w:p w:rsidR="006261B9" w:rsidRPr="006261B9" w:rsidRDefault="008F6D57" w:rsidP="006261B9">
      <w:pPr>
        <w:ind w:left="720" w:hanging="720"/>
        <w:rPr>
          <w:shd w:val="clear" w:color="auto" w:fill="FFFFFF"/>
        </w:rPr>
      </w:pPr>
      <w:r w:rsidRPr="006261B9">
        <w:rPr>
          <w:shd w:val="clear" w:color="auto" w:fill="FFFFFF"/>
        </w:rPr>
        <w:t>Sanmugam, M., Mohamed, H., Zaid, N. M., Abdullah, Z., Aris, B., &amp; Suhadi, S. M. (2016). Gamification's role as a learning and assessment to</w:t>
      </w:r>
      <w:r w:rsidRPr="006261B9">
        <w:rPr>
          <w:shd w:val="clear" w:color="auto" w:fill="FFFFFF"/>
        </w:rPr>
        <w:t>ol in education. </w:t>
      </w:r>
      <w:r w:rsidRPr="006261B9">
        <w:rPr>
          <w:i/>
          <w:iCs/>
          <w:shd w:val="clear" w:color="auto" w:fill="FFFFFF"/>
        </w:rPr>
        <w:t>International Journal of Knowledge-Based Organizations (IJKBO)</w:t>
      </w:r>
      <w:r w:rsidRPr="006261B9">
        <w:rPr>
          <w:shd w:val="clear" w:color="auto" w:fill="FFFFFF"/>
        </w:rPr>
        <w:t>, </w:t>
      </w:r>
      <w:r w:rsidRPr="006261B9">
        <w:rPr>
          <w:i/>
          <w:iCs/>
          <w:shd w:val="clear" w:color="auto" w:fill="FFFFFF"/>
        </w:rPr>
        <w:t>6</w:t>
      </w:r>
      <w:r w:rsidRPr="006261B9">
        <w:rPr>
          <w:shd w:val="clear" w:color="auto" w:fill="FFFFFF"/>
        </w:rPr>
        <w:t>(4), 28-38.</w:t>
      </w:r>
    </w:p>
    <w:p w:rsidR="006261B9" w:rsidRPr="006261B9" w:rsidRDefault="008F6D57" w:rsidP="006261B9">
      <w:pPr>
        <w:ind w:left="720" w:hanging="720"/>
        <w:rPr>
          <w:b/>
        </w:rPr>
      </w:pPr>
      <w:r w:rsidRPr="006261B9">
        <w:rPr>
          <w:shd w:val="clear" w:color="auto" w:fill="FFFFFF"/>
        </w:rPr>
        <w:t>Veletsianos, G. (2016). The defining characteristics of emerging technologies and emerging practices in digital education. </w:t>
      </w:r>
      <w:r w:rsidRPr="006261B9">
        <w:rPr>
          <w:i/>
          <w:iCs/>
          <w:shd w:val="clear" w:color="auto" w:fill="FFFFFF"/>
        </w:rPr>
        <w:t>Emergence and innovation in digital lea</w:t>
      </w:r>
      <w:r w:rsidRPr="006261B9">
        <w:rPr>
          <w:i/>
          <w:iCs/>
          <w:shd w:val="clear" w:color="auto" w:fill="FFFFFF"/>
        </w:rPr>
        <w:t>rning: Foundations and applications</w:t>
      </w:r>
      <w:r w:rsidRPr="006261B9">
        <w:rPr>
          <w:shd w:val="clear" w:color="auto" w:fill="FFFFFF"/>
        </w:rPr>
        <w:t>, 3-16.</w:t>
      </w:r>
    </w:p>
    <w:sectPr w:rsidR="006261B9" w:rsidRPr="006261B9" w:rsidSect="00387ED6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D57" w:rsidRDefault="008F6D57">
      <w:pPr>
        <w:spacing w:after="0" w:line="240" w:lineRule="auto"/>
      </w:pPr>
      <w:r>
        <w:separator/>
      </w:r>
    </w:p>
  </w:endnote>
  <w:endnote w:type="continuationSeparator" w:id="0">
    <w:p w:rsidR="008F6D57" w:rsidRDefault="008F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D57" w:rsidRDefault="008F6D57">
      <w:pPr>
        <w:spacing w:after="0" w:line="240" w:lineRule="auto"/>
      </w:pPr>
      <w:r>
        <w:separator/>
      </w:r>
    </w:p>
  </w:footnote>
  <w:footnote w:type="continuationSeparator" w:id="0">
    <w:p w:rsidR="008F6D57" w:rsidRDefault="008F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4167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7ED6" w:rsidRDefault="008F6D57">
        <w:pPr>
          <w:pStyle w:val="Header"/>
          <w:jc w:val="right"/>
        </w:pPr>
        <w:r>
          <w:t xml:space="preserve">ASSESSMENT TOOLS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0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7ED6" w:rsidRDefault="00387E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ED6" w:rsidRDefault="008F6D57" w:rsidP="00387ED6">
    <w:pPr>
      <w:pStyle w:val="Header"/>
      <w:jc w:val="right"/>
    </w:pPr>
    <w:r>
      <w:t>Running head: ASSESSMENT</w:t>
    </w:r>
    <w:sdt>
      <w:sdtPr>
        <w:id w:val="15461771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 xml:space="preserve"> TOOLS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D6"/>
    <w:rsid w:val="00001A9C"/>
    <w:rsid w:val="0000380D"/>
    <w:rsid w:val="00017F13"/>
    <w:rsid w:val="0006119A"/>
    <w:rsid w:val="000A1396"/>
    <w:rsid w:val="000A711E"/>
    <w:rsid w:val="001062DF"/>
    <w:rsid w:val="00126B3F"/>
    <w:rsid w:val="001355F0"/>
    <w:rsid w:val="00153100"/>
    <w:rsid w:val="00160AF4"/>
    <w:rsid w:val="00174F7F"/>
    <w:rsid w:val="0018367B"/>
    <w:rsid w:val="00203773"/>
    <w:rsid w:val="00235590"/>
    <w:rsid w:val="002F7D3A"/>
    <w:rsid w:val="00360A89"/>
    <w:rsid w:val="00387ED6"/>
    <w:rsid w:val="004134E6"/>
    <w:rsid w:val="004304E9"/>
    <w:rsid w:val="0043305B"/>
    <w:rsid w:val="00472F40"/>
    <w:rsid w:val="0052501B"/>
    <w:rsid w:val="00530990"/>
    <w:rsid w:val="00553911"/>
    <w:rsid w:val="00556889"/>
    <w:rsid w:val="005B6964"/>
    <w:rsid w:val="005E462D"/>
    <w:rsid w:val="005E6521"/>
    <w:rsid w:val="006261B9"/>
    <w:rsid w:val="006751FD"/>
    <w:rsid w:val="006B7441"/>
    <w:rsid w:val="006C30A9"/>
    <w:rsid w:val="007104D1"/>
    <w:rsid w:val="00712085"/>
    <w:rsid w:val="007278C8"/>
    <w:rsid w:val="0077011B"/>
    <w:rsid w:val="007E0236"/>
    <w:rsid w:val="00827F8A"/>
    <w:rsid w:val="00831D59"/>
    <w:rsid w:val="00841ECF"/>
    <w:rsid w:val="008721E5"/>
    <w:rsid w:val="008C5AD5"/>
    <w:rsid w:val="008F6D57"/>
    <w:rsid w:val="009644E4"/>
    <w:rsid w:val="0097114F"/>
    <w:rsid w:val="009776C7"/>
    <w:rsid w:val="009A6462"/>
    <w:rsid w:val="009A6931"/>
    <w:rsid w:val="009B65A7"/>
    <w:rsid w:val="00A111FB"/>
    <w:rsid w:val="00AC5DD8"/>
    <w:rsid w:val="00B03DBC"/>
    <w:rsid w:val="00BA54B0"/>
    <w:rsid w:val="00BC35D9"/>
    <w:rsid w:val="00CF7E54"/>
    <w:rsid w:val="00D438E4"/>
    <w:rsid w:val="00D979DE"/>
    <w:rsid w:val="00DF00EF"/>
    <w:rsid w:val="00E250AC"/>
    <w:rsid w:val="00E468A4"/>
    <w:rsid w:val="00E8543B"/>
    <w:rsid w:val="00EC26C8"/>
    <w:rsid w:val="00ED21D1"/>
    <w:rsid w:val="00EE42FA"/>
    <w:rsid w:val="00F0487D"/>
    <w:rsid w:val="00FA7775"/>
    <w:rsid w:val="00FD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C7843-C6BE-4C9F-8C1F-B09E7FB0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ED6"/>
  </w:style>
  <w:style w:type="paragraph" w:styleId="Footer">
    <w:name w:val="footer"/>
    <w:basedOn w:val="Normal"/>
    <w:link w:val="FooterChar"/>
    <w:uiPriority w:val="99"/>
    <w:unhideWhenUsed/>
    <w:rsid w:val="00387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2</cp:revision>
  <dcterms:created xsi:type="dcterms:W3CDTF">2021-04-01T06:59:00Z</dcterms:created>
  <dcterms:modified xsi:type="dcterms:W3CDTF">2021-04-01T06:59:00Z</dcterms:modified>
</cp:coreProperties>
</file>